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A" w:rsidRPr="00F74799" w:rsidRDefault="00F9442A" w:rsidP="00F9442A">
      <w:pPr>
        <w:jc w:val="center"/>
        <w:rPr>
          <w:b/>
        </w:rPr>
      </w:pPr>
      <w:r w:rsidRPr="00F74799">
        <w:rPr>
          <w:rFonts w:hint="eastAsia"/>
          <w:b/>
        </w:rPr>
        <w:t xml:space="preserve">Multivariate Statistical Analysis </w:t>
      </w:r>
      <w:proofErr w:type="gramStart"/>
      <w:r w:rsidRPr="00F74799">
        <w:rPr>
          <w:rFonts w:hint="eastAsia"/>
          <w:b/>
        </w:rPr>
        <w:t>Mid</w:t>
      </w:r>
      <w:proofErr w:type="gramEnd"/>
      <w:r w:rsidRPr="00F74799">
        <w:rPr>
          <w:rFonts w:hint="eastAsia"/>
          <w:b/>
        </w:rPr>
        <w:t xml:space="preserve"> Term</w:t>
      </w:r>
      <w:r w:rsidR="00465689">
        <w:rPr>
          <w:rFonts w:hint="eastAsia"/>
          <w:b/>
        </w:rPr>
        <w:t xml:space="preserve"> Solution</w:t>
      </w:r>
    </w:p>
    <w:p w:rsidR="00F9442A" w:rsidRPr="00F74799" w:rsidRDefault="008935F5" w:rsidP="00F9442A">
      <w:pPr>
        <w:jc w:val="center"/>
        <w:rPr>
          <w:b/>
        </w:rPr>
      </w:pPr>
      <w:r>
        <w:rPr>
          <w:rFonts w:hint="eastAsia"/>
          <w:b/>
        </w:rPr>
        <w:t xml:space="preserve">November </w:t>
      </w:r>
      <w:r w:rsidR="00C5604F">
        <w:rPr>
          <w:rFonts w:hint="eastAsia"/>
          <w:b/>
        </w:rPr>
        <w:t>9</w:t>
      </w:r>
      <w:r w:rsidR="00F9442A" w:rsidRPr="00F74799">
        <w:rPr>
          <w:rFonts w:hint="eastAsia"/>
          <w:b/>
        </w:rPr>
        <w:t>, 20</w:t>
      </w:r>
      <w:r>
        <w:rPr>
          <w:rFonts w:hint="eastAsia"/>
          <w:b/>
        </w:rPr>
        <w:t>1</w:t>
      </w:r>
      <w:r w:rsidR="00C5604F">
        <w:rPr>
          <w:rFonts w:hint="eastAsia"/>
          <w:b/>
        </w:rPr>
        <w:t>2</w:t>
      </w:r>
    </w:p>
    <w:p w:rsidR="00B85EB5" w:rsidRDefault="00465689" w:rsidP="00A7755C">
      <w:pPr>
        <w:jc w:val="center"/>
        <w:rPr>
          <w:b/>
        </w:rPr>
      </w:pPr>
      <w:r>
        <w:rPr>
          <w:rFonts w:hint="eastAsia"/>
          <w:b/>
        </w:rPr>
        <w:t>4</w:t>
      </w:r>
      <w:r w:rsidR="00E62207" w:rsidRPr="00F74799">
        <w:rPr>
          <w:rFonts w:hint="eastAsia"/>
          <w:b/>
        </w:rPr>
        <w:t xml:space="preserve"> pages, </w:t>
      </w:r>
      <w:r w:rsidR="006E17F0">
        <w:rPr>
          <w:rFonts w:hint="eastAsia"/>
          <w:b/>
        </w:rPr>
        <w:t>1</w:t>
      </w:r>
      <w:r w:rsidR="00557F50">
        <w:rPr>
          <w:rFonts w:hint="eastAsia"/>
          <w:b/>
        </w:rPr>
        <w:t>4</w:t>
      </w:r>
      <w:r w:rsidR="006E17F0">
        <w:rPr>
          <w:rFonts w:hint="eastAsia"/>
          <w:b/>
        </w:rPr>
        <w:t xml:space="preserve"> problems, </w:t>
      </w:r>
      <w:r w:rsidR="00E62207" w:rsidRPr="00F74799">
        <w:rPr>
          <w:rFonts w:hint="eastAsia"/>
          <w:b/>
        </w:rPr>
        <w:t>100 points</w:t>
      </w:r>
    </w:p>
    <w:p w:rsidR="00571B6C" w:rsidRPr="00A7755C" w:rsidRDefault="00571B6C" w:rsidP="00A7755C">
      <w:pPr>
        <w:jc w:val="center"/>
        <w:rPr>
          <w:b/>
        </w:rPr>
      </w:pPr>
    </w:p>
    <w:p w:rsidR="00EF0635" w:rsidRDefault="00EF0635" w:rsidP="00F8680B">
      <w:pPr>
        <w:numPr>
          <w:ilvl w:val="0"/>
          <w:numId w:val="1"/>
        </w:numPr>
        <w:jc w:val="both"/>
      </w:pPr>
      <w:r>
        <w:rPr>
          <w:rFonts w:hint="eastAsia"/>
        </w:rPr>
        <w:t>E</w:t>
      </w:r>
      <w:r w:rsidR="00C5604F">
        <w:rPr>
          <w:rFonts w:hint="eastAsia"/>
        </w:rPr>
        <w:t>igenvalues</w:t>
      </w:r>
      <w:r>
        <w:rPr>
          <w:rFonts w:hint="eastAsia"/>
        </w:rPr>
        <w:t>: 9, 1</w:t>
      </w:r>
      <w:r w:rsidR="00C5604F">
        <w:rPr>
          <w:rFonts w:hint="eastAsia"/>
        </w:rPr>
        <w:t xml:space="preserve"> </w:t>
      </w:r>
    </w:p>
    <w:p w:rsidR="00F8680B" w:rsidRDefault="008238ED" w:rsidP="00EF0635">
      <w:pPr>
        <w:ind w:left="360"/>
        <w:jc w:val="both"/>
      </w:pPr>
      <w:r>
        <w:rPr>
          <w:rFonts w:hint="eastAsia"/>
        </w:rPr>
        <w:t>Corresponding n</w:t>
      </w:r>
      <w:r w:rsidR="00C5604F">
        <w:rPr>
          <w:rFonts w:hint="eastAsia"/>
        </w:rPr>
        <w:t>ormalized eigenvectors</w:t>
      </w:r>
      <w:r w:rsidR="00EF0635">
        <w:rPr>
          <w:rFonts w:hint="eastAsia"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'</m:t>
        </m:r>
      </m:oMath>
      <w:r w:rsidR="00F8680B">
        <w:rPr>
          <w:rFonts w:hint="eastAsia"/>
        </w:rPr>
        <w:t xml:space="preserve">  </w:t>
      </w:r>
      <w:r w:rsidR="00EF0635">
        <w:rPr>
          <w:rFonts w:hint="eastAsia"/>
        </w:rPr>
        <w:t xml:space="preserve"> and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="00EF0635">
        <w:rPr>
          <w:rFonts w:hint="eastAsia"/>
        </w:rPr>
        <w:t xml:space="preserve">  .  (</w:t>
      </w:r>
      <w:r w:rsidR="00557F50">
        <w:rPr>
          <w:rFonts w:hint="eastAsia"/>
        </w:rPr>
        <w:t>7</w:t>
      </w:r>
      <w:r w:rsidR="00F8680B">
        <w:rPr>
          <w:rFonts w:hint="eastAsia"/>
        </w:rPr>
        <w:t>%)</w:t>
      </w:r>
    </w:p>
    <w:p w:rsidR="00EF0635" w:rsidRDefault="00EF0635" w:rsidP="00EF0635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F74799" w:rsidRDefault="00D17DAA" w:rsidP="00F74799">
      <w:pPr>
        <w:numPr>
          <w:ilvl w:val="0"/>
          <w:numId w:val="1"/>
        </w:numPr>
        <w:jc w:val="both"/>
      </w:pP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=9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CD5063">
        <w:rPr>
          <w:rFonts w:hint="eastAsia"/>
        </w:rPr>
        <w:t xml:space="preserve">.  </w:t>
      </w:r>
      <w:r w:rsidR="00F9442A">
        <w:rPr>
          <w:rFonts w:hint="eastAsia"/>
        </w:rPr>
        <w:t>(</w:t>
      </w:r>
      <w:r w:rsidR="00557F50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EF0635" w:rsidRDefault="00EF0635" w:rsidP="00EF0635">
      <w:pPr>
        <w:pStyle w:val="ab"/>
        <w:ind w:leftChars="0"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083D6C" w:rsidRDefault="00D17DAA" w:rsidP="00083D6C">
      <w:pPr>
        <w:numPr>
          <w:ilvl w:val="0"/>
          <w:numId w:val="1"/>
        </w:numPr>
        <w:jc w:val="both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≠0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Sx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func>
        <m:r>
          <w:rPr>
            <w:rFonts w:ascii="Cambria Math" w:hAnsi="Cambria Math"/>
          </w:rPr>
          <m:t>=9</m:t>
        </m:r>
      </m:oMath>
      <w:r w:rsidR="00CC681B">
        <w:rPr>
          <w:rFonts w:hint="eastAsia"/>
        </w:rPr>
        <w:t>,</w:t>
      </w:r>
      <w:r w:rsidR="00083D6C">
        <w:rPr>
          <w:rFonts w:hint="eastAsia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≠0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Sx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func>
        <m:r>
          <w:rPr>
            <w:rFonts w:ascii="Cambria Math" w:hAnsi="Cambria Math"/>
          </w:rPr>
          <m:t>=1</m:t>
        </m:r>
      </m:oMath>
      <w:r w:rsidR="00083D6C">
        <w:rPr>
          <w:rFonts w:hint="eastAsia"/>
        </w:rPr>
        <w:t>.</w:t>
      </w:r>
      <w:r w:rsidR="000C3BAD">
        <w:rPr>
          <w:rFonts w:hint="eastAsia"/>
        </w:rPr>
        <w:t xml:space="preserve"> </w:t>
      </w:r>
      <w:r w:rsidR="00F9442A">
        <w:rPr>
          <w:rFonts w:hint="eastAsia"/>
        </w:rPr>
        <w:t>(</w:t>
      </w:r>
      <w:r w:rsidR="00557F50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CC681B" w:rsidRDefault="00CC681B" w:rsidP="00CC681B">
      <w:pPr>
        <w:pStyle w:val="ab"/>
        <w:ind w:leftChars="0"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3A2C19" w:rsidRDefault="007B7571" w:rsidP="00B85EB5">
      <w:pPr>
        <w:numPr>
          <w:ilvl w:val="0"/>
          <w:numId w:val="1"/>
        </w:numPr>
        <w:jc w:val="both"/>
      </w:pPr>
      <w:r>
        <w:rPr>
          <w:rFonts w:hint="eastAsia"/>
        </w:rPr>
        <w:t>(1)</w:t>
      </w:r>
      <w:r w:rsidR="00CC681B">
        <w:rPr>
          <w:rFonts w:hint="eastAsia"/>
        </w:rPr>
        <w:t xml:space="preserve">When at least one deviation vector lies in the (hyper) plane formed by </w:t>
      </w:r>
      <w:r w:rsidR="003A2C19">
        <w:rPr>
          <w:rFonts w:hint="eastAsia"/>
        </w:rPr>
        <w:t>any one</w:t>
      </w:r>
      <w:r w:rsidR="00CC681B">
        <w:rPr>
          <w:rFonts w:hint="eastAsia"/>
        </w:rPr>
        <w:t xml:space="preserve"> linear combinations of the others</w:t>
      </w:r>
    </w:p>
    <w:p w:rsidR="007B7571" w:rsidRDefault="003A2C19" w:rsidP="003A2C19">
      <w:pPr>
        <w:ind w:left="360"/>
        <w:jc w:val="both"/>
        <w:rPr>
          <w:rFonts w:hint="eastAsia"/>
        </w:rPr>
      </w:pPr>
      <w:r>
        <w:rPr>
          <w:rFonts w:hint="eastAsia"/>
        </w:rPr>
        <w:t>In other words, the columns of the matrix of deviations are linearly dependent</w:t>
      </w:r>
      <w:r w:rsidR="00BF3126">
        <w:rPr>
          <w:rFonts w:hint="eastAsia"/>
        </w:rPr>
        <w:t xml:space="preserve"> </w:t>
      </w:r>
    </w:p>
    <w:p w:rsidR="007B7571" w:rsidRDefault="007B7571" w:rsidP="003A2C19">
      <w:pPr>
        <w:ind w:left="360"/>
        <w:jc w:val="both"/>
        <w:rPr>
          <w:rFonts w:hint="eastAsia"/>
        </w:rPr>
      </w:pPr>
      <w:r>
        <w:rPr>
          <w:rFonts w:hint="eastAsia"/>
        </w:rPr>
        <w:t xml:space="preserve">(2) When the sample size is not larger than the number of variables. </w:t>
      </w:r>
    </w:p>
    <w:p w:rsidR="00B85EB5" w:rsidRDefault="00F9442A" w:rsidP="003A2C19">
      <w:pPr>
        <w:ind w:left="360"/>
        <w:jc w:val="both"/>
      </w:pPr>
      <w:r>
        <w:rPr>
          <w:rFonts w:hint="eastAsia"/>
        </w:rPr>
        <w:t xml:space="preserve"> (</w:t>
      </w:r>
      <w:r w:rsidR="00557F50">
        <w:rPr>
          <w:rFonts w:hint="eastAsia"/>
        </w:rPr>
        <w:t>7</w:t>
      </w:r>
      <w:r>
        <w:rPr>
          <w:rFonts w:hint="eastAsia"/>
        </w:rPr>
        <w:t>%)</w:t>
      </w:r>
    </w:p>
    <w:p w:rsidR="00CC681B" w:rsidRDefault="00CC681B" w:rsidP="00CC681B">
      <w:pPr>
        <w:pStyle w:val="ab"/>
        <w:ind w:leftChars="0"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CC681B" w:rsidRDefault="00CC681B" w:rsidP="00CC681B">
      <w:pPr>
        <w:ind w:left="360"/>
        <w:jc w:val="both"/>
      </w:pPr>
    </w:p>
    <w:p w:rsidR="00282512" w:rsidRDefault="00D17DAA" w:rsidP="00282512">
      <w:pPr>
        <w:numPr>
          <w:ilvl w:val="0"/>
          <w:numId w:val="1"/>
        </w:numPr>
        <w:jc w:val="both"/>
      </w:pPr>
      <m:oMath>
        <m:acc>
          <m:accPr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</w:rPr>
          <m:t>,</m:t>
        </m:r>
      </m:oMath>
      <w:r w:rsidR="00F9442A">
        <w:rPr>
          <w:rFonts w:hint="eastAsia"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Σ</m:t>
            </m:r>
          </m:e>
        </m:acc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b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3-4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6-6</m:t>
                      </m:r>
                    </m:e>
                  </m:mr>
                </m:m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3-4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6-6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4-4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4-6</m:t>
                      </m:r>
                    </m:e>
                  </m:mr>
                </m:m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4-4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4-6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5-4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7-6</m:t>
                      </m:r>
                    </m:e>
                  </m:mr>
                </m:m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5-4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7-6</m:t>
                      </m:r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4-4</m:t>
                      </m:r>
                    </m:e>
                  </m:m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7-6</m:t>
                      </m:r>
                    </m:e>
                  </m:mr>
                </m:m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4-4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7-6</m:t>
                      </m:r>
                    </m:e>
                  </m:mr>
                </m:m>
              </m:e>
            </m:d>
          </m:e>
        </m:d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="00967F30">
        <w:rPr>
          <w:rFonts w:hint="eastAsia"/>
        </w:rPr>
        <w:t>. (</w:t>
      </w:r>
      <w:r w:rsidR="00557F50">
        <w:rPr>
          <w:rFonts w:hint="eastAsia"/>
        </w:rPr>
        <w:t>7</w:t>
      </w:r>
      <w:r w:rsidR="00967F30">
        <w:rPr>
          <w:rFonts w:hint="eastAsia"/>
        </w:rPr>
        <w:t>%)</w:t>
      </w:r>
    </w:p>
    <w:p w:rsidR="00DA1234" w:rsidRDefault="00DA1234" w:rsidP="00DA1234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98503D" w:rsidRDefault="00097FF0" w:rsidP="00282512">
      <w:pPr>
        <w:numPr>
          <w:ilvl w:val="0"/>
          <w:numId w:val="1"/>
        </w:numPr>
        <w:jc w:val="both"/>
      </w:pPr>
      <w:r w:rsidRPr="00F27D83">
        <w:rPr>
          <w:position w:val="-140"/>
        </w:rPr>
        <w:object w:dxaOrig="7260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8pt;height:147.25pt" o:ole="">
            <v:imagedata r:id="rId9" o:title=""/>
          </v:shape>
          <o:OLEObject Type="Embed" ProgID="Equation.3" ShapeID="_x0000_i1025" DrawAspect="Content" ObjectID="_1414670000" r:id="rId10"/>
        </w:object>
      </w:r>
      <w:r w:rsidR="00B07607">
        <w:rPr>
          <w:rFonts w:hint="eastAsia"/>
        </w:rPr>
        <w:t>. (</w:t>
      </w:r>
      <w:r w:rsidR="00557F50">
        <w:rPr>
          <w:rFonts w:hint="eastAsia"/>
        </w:rPr>
        <w:t>7</w:t>
      </w:r>
      <w:r w:rsidR="00B07607">
        <w:rPr>
          <w:rFonts w:hint="eastAsia"/>
        </w:rPr>
        <w:t>%)</w:t>
      </w:r>
    </w:p>
    <w:p w:rsidR="00F27D83" w:rsidRPr="00967F30" w:rsidRDefault="00F27D83" w:rsidP="00F27D83">
      <w:pPr>
        <w:pStyle w:val="ab"/>
        <w:ind w:leftChars="0"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6D2753" w:rsidRDefault="007B7571" w:rsidP="00B85EB5">
      <w:pPr>
        <w:numPr>
          <w:ilvl w:val="0"/>
          <w:numId w:val="1"/>
        </w:numPr>
        <w:jc w:val="both"/>
      </w:pPr>
      <w:r w:rsidRPr="009D7531">
        <w:rPr>
          <w:position w:val="-174"/>
        </w:rPr>
        <w:object w:dxaOrig="6800" w:dyaOrig="3600">
          <v:shape id="_x0000_i1046" type="#_x0000_t75" style="width:292.7pt;height:154.75pt" o:ole="">
            <v:imagedata r:id="rId11" o:title=""/>
          </v:shape>
          <o:OLEObject Type="Embed" ProgID="Equation.3" ShapeID="_x0000_i1046" DrawAspect="Content" ObjectID="_1414670001" r:id="rId12"/>
        </w:object>
      </w:r>
      <w:r w:rsidR="00F67D58">
        <w:rPr>
          <w:rFonts w:hint="eastAsia"/>
        </w:rPr>
        <w:t>. (</w:t>
      </w:r>
      <w:r w:rsidR="00557F50">
        <w:rPr>
          <w:rFonts w:hint="eastAsia"/>
        </w:rPr>
        <w:t>7</w:t>
      </w:r>
      <w:r w:rsidR="00F67D58">
        <w:rPr>
          <w:rFonts w:hint="eastAsia"/>
        </w:rPr>
        <w:t>%)</w:t>
      </w:r>
    </w:p>
    <w:p w:rsidR="007D0572" w:rsidRDefault="007D0572" w:rsidP="007D0572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501E13" w:rsidRDefault="005270CA" w:rsidP="00B85EB5">
      <w:pPr>
        <w:numPr>
          <w:ilvl w:val="0"/>
          <w:numId w:val="1"/>
        </w:numPr>
        <w:jc w:val="both"/>
      </w:pPr>
      <w:r w:rsidRPr="00501E13">
        <w:rPr>
          <w:position w:val="-194"/>
        </w:rPr>
        <w:object w:dxaOrig="6840" w:dyaOrig="4000">
          <v:shape id="_x0000_i1026" type="#_x0000_t75" style="width:342.25pt;height:200.1pt" o:ole="">
            <v:imagedata r:id="rId13" o:title=""/>
          </v:shape>
          <o:OLEObject Type="Embed" ProgID="Equation.3" ShapeID="_x0000_i1026" DrawAspect="Content" ObjectID="_1414670002" r:id="rId14"/>
        </w:object>
      </w:r>
      <w:r w:rsidR="0027559A">
        <w:rPr>
          <w:rFonts w:hint="eastAsia"/>
        </w:rPr>
        <w:t xml:space="preserve">.  </w:t>
      </w:r>
      <w:r w:rsidR="00F9442A">
        <w:rPr>
          <w:rFonts w:hint="eastAsia"/>
        </w:rPr>
        <w:t>(</w:t>
      </w:r>
      <w:r w:rsidR="00557F50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B85EB5" w:rsidRDefault="00501E13" w:rsidP="00501E13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B85EB5" w:rsidRDefault="00D62509" w:rsidP="00B85EB5">
      <w:pPr>
        <w:numPr>
          <w:ilvl w:val="0"/>
          <w:numId w:val="1"/>
        </w:numPr>
        <w:jc w:val="both"/>
      </w:pPr>
      <w:r w:rsidRPr="00D62509">
        <w:rPr>
          <w:position w:val="-174"/>
        </w:rPr>
        <w:object w:dxaOrig="6240" w:dyaOrig="3600">
          <v:shape id="_x0000_i1027" type="#_x0000_t75" style="width:311.85pt;height:180pt" o:ole="">
            <v:imagedata r:id="rId15" o:title=""/>
          </v:shape>
          <o:OLEObject Type="Embed" ProgID="Equation.3" ShapeID="_x0000_i1027" DrawAspect="Content" ObjectID="_1414670003" r:id="rId16"/>
        </w:object>
      </w:r>
      <w:r w:rsidR="00346DA8">
        <w:rPr>
          <w:rFonts w:hint="eastAsia"/>
        </w:rPr>
        <w:t>.</w:t>
      </w:r>
      <w:r w:rsidR="00A7755C">
        <w:rPr>
          <w:rFonts w:hint="eastAsia"/>
        </w:rPr>
        <w:t xml:space="preserve"> </w:t>
      </w:r>
      <w:r w:rsidR="00F9442A">
        <w:rPr>
          <w:rFonts w:hint="eastAsia"/>
        </w:rPr>
        <w:t>(</w:t>
      </w:r>
      <w:r w:rsidR="00557F50">
        <w:rPr>
          <w:rFonts w:hint="eastAsia"/>
        </w:rPr>
        <w:t>7</w:t>
      </w:r>
      <w:r w:rsidR="00F9442A">
        <w:rPr>
          <w:rFonts w:hint="eastAsia"/>
        </w:rPr>
        <w:t>%)</w:t>
      </w:r>
    </w:p>
    <w:p w:rsidR="00A7167F" w:rsidRDefault="00A7167F" w:rsidP="00A7167F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D62509" w:rsidRDefault="00725B27" w:rsidP="0098503D">
      <w:pPr>
        <w:numPr>
          <w:ilvl w:val="0"/>
          <w:numId w:val="1"/>
        </w:numPr>
        <w:jc w:val="both"/>
      </w:pPr>
      <w:proofErr w:type="gramStart"/>
      <w:r>
        <w:rPr>
          <w:rFonts w:hint="eastAsia"/>
        </w:rPr>
        <w:t>one-at-a-time</w:t>
      </w:r>
      <w:proofErr w:type="gramEnd"/>
      <w:r>
        <w:rPr>
          <w:rFonts w:hint="eastAsia"/>
        </w:rPr>
        <w:t xml:space="preserve"> confidence intervals</w:t>
      </w:r>
      <w:r w:rsidR="00D62509">
        <w:rPr>
          <w:rFonts w:hint="eastAsia"/>
        </w:rPr>
        <w:t xml:space="preserve">: </w:t>
      </w:r>
      <w:r w:rsidR="003F2800">
        <w:rPr>
          <w:rFonts w:hint="eastAsia"/>
        </w:rPr>
        <w:t xml:space="preserve">each interval </w:t>
      </w:r>
      <w:r w:rsidR="00D62509">
        <w:rPr>
          <w:rFonts w:hint="eastAsia"/>
        </w:rPr>
        <w:t>consider only one dimension at a time</w:t>
      </w:r>
      <w:r w:rsidR="00566677">
        <w:rPr>
          <w:rFonts w:hint="eastAsia"/>
        </w:rPr>
        <w:t>, don</w:t>
      </w:r>
      <w:r w:rsidR="00566677">
        <w:t>’</w:t>
      </w:r>
      <w:r w:rsidR="00566677">
        <w:rPr>
          <w:rFonts w:hint="eastAsia"/>
        </w:rPr>
        <w:t>t care the other dimensions.</w:t>
      </w:r>
    </w:p>
    <w:p w:rsidR="00566677" w:rsidRDefault="00D62509" w:rsidP="00D62509">
      <w:pPr>
        <w:ind w:left="360"/>
        <w:jc w:val="both"/>
      </w:pPr>
      <w:r w:rsidRPr="00BF3126">
        <w:rPr>
          <w:position w:val="-4"/>
        </w:rPr>
        <w:object w:dxaOrig="320" w:dyaOrig="300">
          <v:shape id="_x0000_i1028" type="#_x0000_t75" style="width:15.9pt;height:14.95pt" o:ole="">
            <v:imagedata r:id="rId17" o:title=""/>
          </v:shape>
          <o:OLEObject Type="Embed" ProgID="Equation.3" ShapeID="_x0000_i1028" DrawAspect="Content" ObjectID="_1414670004" r:id="rId18"/>
        </w:objec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simultaneous</w:t>
      </w:r>
      <w:proofErr w:type="gramEnd"/>
      <w:r>
        <w:rPr>
          <w:rFonts w:hint="eastAsia"/>
        </w:rPr>
        <w:t xml:space="preserve"> confidence intervals</w:t>
      </w:r>
      <w:r w:rsidR="00566677">
        <w:rPr>
          <w:rFonts w:hint="eastAsia"/>
        </w:rPr>
        <w:t>:</w:t>
      </w:r>
      <w:r>
        <w:rPr>
          <w:rFonts w:hint="eastAsia"/>
        </w:rPr>
        <w:t xml:space="preserve"> all linear combinations of the unknown parameters</w:t>
      </w:r>
      <w:r w:rsidR="00566677">
        <w:rPr>
          <w:rFonts w:hint="eastAsia"/>
        </w:rPr>
        <w:t>.</w:t>
      </w:r>
    </w:p>
    <w:p w:rsidR="0098503D" w:rsidRDefault="00566677" w:rsidP="00D62509">
      <w:pPr>
        <w:ind w:left="360"/>
        <w:jc w:val="both"/>
      </w:pPr>
      <w:r>
        <w:rPr>
          <w:rFonts w:hint="eastAsia"/>
          <w:position w:val="-4"/>
        </w:rPr>
        <w:lastRenderedPageBreak/>
        <w:t xml:space="preserve">Thus </w:t>
      </w:r>
      <w:r w:rsidRPr="00BF3126">
        <w:rPr>
          <w:position w:val="-4"/>
        </w:rPr>
        <w:object w:dxaOrig="320" w:dyaOrig="300">
          <v:shape id="_x0000_i1029" type="#_x0000_t75" style="width:15.9pt;height:14.95pt" o:ole="">
            <v:imagedata r:id="rId17" o:title=""/>
          </v:shape>
          <o:OLEObject Type="Embed" ProgID="Equation.3" ShapeID="_x0000_i1029" DrawAspect="Content" ObjectID="_1414670005" r:id="rId19"/>
        </w:object>
      </w:r>
      <w:r>
        <w:rPr>
          <w:rFonts w:hint="eastAsia"/>
        </w:rPr>
        <w:t xml:space="preserve"> simultaneous confidence intervals are with more strict constraints, and need longer intervals to satisfy </w:t>
      </w:r>
      <w:proofErr w:type="gramStart"/>
      <w:r>
        <w:rPr>
          <w:rFonts w:hint="eastAsia"/>
        </w:rPr>
        <w:t xml:space="preserve">them </w:t>
      </w:r>
      <w:r w:rsidR="00725B27">
        <w:rPr>
          <w:rFonts w:hint="eastAsia"/>
        </w:rPr>
        <w:t>.</w:t>
      </w:r>
      <w:proofErr w:type="gramEnd"/>
      <w:r w:rsidR="00725B27">
        <w:rPr>
          <w:rFonts w:hint="eastAsia"/>
        </w:rPr>
        <w:t xml:space="preserve"> </w:t>
      </w:r>
      <w:r w:rsidR="00F9442A">
        <w:rPr>
          <w:rFonts w:hint="eastAsia"/>
        </w:rPr>
        <w:t>(</w:t>
      </w:r>
      <w:r w:rsidR="00557F50">
        <w:rPr>
          <w:rFonts w:hint="eastAsia"/>
        </w:rPr>
        <w:t>7</w:t>
      </w:r>
      <w:r w:rsidR="00F9442A">
        <w:rPr>
          <w:rFonts w:hint="eastAsia"/>
        </w:rPr>
        <w:t xml:space="preserve">%) </w:t>
      </w:r>
    </w:p>
    <w:p w:rsidR="00D62509" w:rsidRDefault="00D62509" w:rsidP="00D62509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A704F1" w:rsidRDefault="00A704F1" w:rsidP="00A704F1">
      <w:pPr>
        <w:numPr>
          <w:ilvl w:val="0"/>
          <w:numId w:val="1"/>
        </w:numPr>
        <w:jc w:val="both"/>
      </w:pPr>
      <w:r>
        <w:rPr>
          <w:rFonts w:hint="eastAsia"/>
        </w:rPr>
        <w:t xml:space="preserve">Initial estimate </w:t>
      </w:r>
      <w:r w:rsidR="00777F0A" w:rsidRPr="00FC5CB8">
        <w:rPr>
          <w:position w:val="-24"/>
        </w:rPr>
        <w:object w:dxaOrig="1400" w:dyaOrig="620">
          <v:shape id="_x0000_i1030" type="#_x0000_t75" style="width:70.15pt;height:30.85pt" o:ole="">
            <v:imagedata r:id="rId20" o:title=""/>
          </v:shape>
          <o:OLEObject Type="Embed" ProgID="Equation.3" ShapeID="_x0000_i1030" DrawAspect="Content" ObjectID="_1414670006" r:id="rId21"/>
        </w:object>
      </w:r>
      <w:r>
        <w:rPr>
          <w:rFonts w:hint="eastAsia"/>
        </w:rPr>
        <w:t xml:space="preserve">, </w:t>
      </w:r>
      <w:r w:rsidRPr="00FC5CB8">
        <w:rPr>
          <w:position w:val="-24"/>
        </w:rPr>
        <w:object w:dxaOrig="1719" w:dyaOrig="620">
          <v:shape id="_x0000_i1031" type="#_x0000_t75" style="width:86.05pt;height:30.85pt" o:ole="">
            <v:imagedata r:id="rId22" o:title=""/>
          </v:shape>
          <o:OLEObject Type="Embed" ProgID="Equation.3" ShapeID="_x0000_i1031" DrawAspect="Content" ObjectID="_1414670007" r:id="rId23"/>
        </w:object>
      </w:r>
      <w:r>
        <w:rPr>
          <w:rFonts w:hint="eastAsia"/>
        </w:rPr>
        <w:t xml:space="preserve">, </w:t>
      </w:r>
      <w:r w:rsidR="00777F0A" w:rsidRPr="00FC5CB8">
        <w:rPr>
          <w:position w:val="-24"/>
        </w:rPr>
        <w:object w:dxaOrig="3620" w:dyaOrig="660">
          <v:shape id="_x0000_i1032" type="#_x0000_t75" style="width:181.4pt;height:33.2pt" o:ole="">
            <v:imagedata r:id="rId24" o:title=""/>
          </v:shape>
          <o:OLEObject Type="Embed" ProgID="Equation.3" ShapeID="_x0000_i1032" DrawAspect="Content" ObjectID="_1414670008" r:id="rId25"/>
        </w:object>
      </w:r>
      <w:r>
        <w:rPr>
          <w:rFonts w:hint="eastAsia"/>
        </w:rPr>
        <w:t xml:space="preserve">, </w:t>
      </w:r>
      <w:r w:rsidRPr="00FC5CB8">
        <w:rPr>
          <w:position w:val="-24"/>
        </w:rPr>
        <w:object w:dxaOrig="3640" w:dyaOrig="660">
          <v:shape id="_x0000_i1033" type="#_x0000_t75" style="width:181.85pt;height:33.2pt" o:ole="">
            <v:imagedata r:id="rId26" o:title=""/>
          </v:shape>
          <o:OLEObject Type="Embed" ProgID="Equation.3" ShapeID="_x0000_i1033" DrawAspect="Content" ObjectID="_1414670009" r:id="rId27"/>
        </w:object>
      </w:r>
      <w:r>
        <w:rPr>
          <w:rFonts w:hint="eastAsia"/>
        </w:rPr>
        <w:t>,</w: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="007B7571" w:rsidRPr="00FC5CB8">
        <w:rPr>
          <w:position w:val="-24"/>
        </w:rPr>
        <w:object w:dxaOrig="5360" w:dyaOrig="620">
          <v:shape id="_x0000_i1047" type="#_x0000_t75" style="width:268.35pt;height:30.85pt" o:ole="">
            <v:imagedata r:id="rId28" o:title=""/>
          </v:shape>
          <o:OLEObject Type="Embed" ProgID="Equation.3" ShapeID="_x0000_i1047" DrawAspect="Content" ObjectID="_1414670010" r:id="rId29"/>
        </w:object>
      </w:r>
      <w:r>
        <w:rPr>
          <w:rFonts w:hint="eastAsia"/>
        </w:rPr>
        <w:t>.</w: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Partition </w:t>
      </w:r>
      <w:proofErr w:type="gramEnd"/>
      <w:r w:rsidRPr="006E26B4">
        <w:rPr>
          <w:position w:val="-50"/>
        </w:rPr>
        <w:object w:dxaOrig="1854" w:dyaOrig="1253">
          <v:shape id="_x0000_i1034" type="#_x0000_t75" style="width:92.55pt;height:62.65pt" o:ole="">
            <v:imagedata r:id="rId30" o:title=""/>
          </v:shape>
          <o:OLEObject Type="Embed" ProgID="Equation.3" ShapeID="_x0000_i1034" DrawAspect="Content" ObjectID="_1414670011" r:id="rId31"/>
        </w:object>
      </w:r>
      <w:r>
        <w:rPr>
          <w:rFonts w:hint="eastAsia"/>
        </w:rPr>
        <w:t xml:space="preserve">, </w:t>
      </w:r>
      <w:r w:rsidRPr="006E26B4">
        <w:rPr>
          <w:position w:val="-50"/>
        </w:rPr>
        <w:object w:dxaOrig="1920" w:dyaOrig="1120">
          <v:shape id="_x0000_i1035" type="#_x0000_t75" style="width:95.85pt;height:56.1pt" o:ole="">
            <v:imagedata r:id="rId32" o:title=""/>
          </v:shape>
          <o:OLEObject Type="Embed" ProgID="Equation.3" ShapeID="_x0000_i1035" DrawAspect="Content" ObjectID="_1414670012" r:id="rId33"/>
        </w:object>
      </w:r>
      <w:r>
        <w:rPr>
          <w:rFonts w:hint="eastAsia"/>
        </w:rPr>
        <w:t xml:space="preserve">, and predict </w: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="007B7571" w:rsidRPr="00CC4EB1">
        <w:rPr>
          <w:position w:val="-24"/>
        </w:rPr>
        <w:object w:dxaOrig="4780" w:dyaOrig="620">
          <v:shape id="_x0000_i1048" type="#_x0000_t75" style="width:239.4pt;height:30.85pt" o:ole="">
            <v:imagedata r:id="rId34" o:title=""/>
          </v:shape>
          <o:OLEObject Type="Embed" ProgID="Equation.3" ShapeID="_x0000_i1048" DrawAspect="Content" ObjectID="_1414670013" r:id="rId35"/>
        </w:objec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="007B7571" w:rsidRPr="00CC4EB1">
        <w:rPr>
          <w:position w:val="-28"/>
        </w:rPr>
        <w:object w:dxaOrig="5220" w:dyaOrig="680">
          <v:shape id="_x0000_i1049" type="#_x0000_t75" style="width:260.9pt;height:34.15pt" o:ole="">
            <v:imagedata r:id="rId36" o:title=""/>
          </v:shape>
          <o:OLEObject Type="Embed" ProgID="Equation.3" ShapeID="_x0000_i1049" DrawAspect="Content" ObjectID="_1414670014" r:id="rId37"/>
        </w:objec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Pr="00A704F1">
        <w:rPr>
          <w:position w:val="-10"/>
        </w:rPr>
        <w:object w:dxaOrig="2500" w:dyaOrig="480">
          <v:shape id="_x0000_i1036" type="#_x0000_t75" style="width:124.85pt;height:23.85pt" o:ole="">
            <v:imagedata r:id="rId38" o:title=""/>
          </v:shape>
          <o:OLEObject Type="Embed" ProgID="Equation.3" ShapeID="_x0000_i1036" DrawAspect="Content" ObjectID="_1414670015" r:id="rId39"/>
        </w:object>
      </w:r>
      <w:bookmarkStart w:id="0" w:name="_GoBack"/>
      <w:bookmarkEnd w:id="0"/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Pr="00A704F1">
        <w:rPr>
          <w:position w:val="-32"/>
        </w:rPr>
        <w:object w:dxaOrig="3540" w:dyaOrig="760">
          <v:shape id="_x0000_i1037" type="#_x0000_t75" style="width:177.2pt;height:37.85pt" o:ole="">
            <v:imagedata r:id="rId40" o:title=""/>
          </v:shape>
          <o:OLEObject Type="Embed" ProgID="Equation.3" ShapeID="_x0000_i1037" DrawAspect="Content" ObjectID="_1414670016" r:id="rId41"/>
        </w:objec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="00097FF0" w:rsidRPr="00417797">
        <w:rPr>
          <w:position w:val="-42"/>
        </w:rPr>
        <w:object w:dxaOrig="6240" w:dyaOrig="960">
          <v:shape id="_x0000_i1038" type="#_x0000_t75" style="width:311.85pt;height:48.15pt" o:ole="">
            <v:imagedata r:id="rId42" o:title=""/>
          </v:shape>
          <o:OLEObject Type="Embed" ProgID="Equation.3" ShapeID="_x0000_i1038" DrawAspect="Content" ObjectID="_1414670017" r:id="rId43"/>
        </w:objec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="00417797" w:rsidRPr="00417797">
        <w:rPr>
          <w:position w:val="-30"/>
        </w:rPr>
        <w:object w:dxaOrig="1280" w:dyaOrig="720">
          <v:shape id="_x0000_i1039" type="#_x0000_t75" style="width:64.05pt;height:36pt" o:ole="">
            <v:imagedata r:id="rId44" o:title=""/>
          </v:shape>
          <o:OLEObject Type="Embed" ProgID="Equation.3" ShapeID="_x0000_i1039" DrawAspect="Content" ObjectID="_1414670018" r:id="rId45"/>
        </w:object>
      </w:r>
      <w:r>
        <w:rPr>
          <w:rFonts w:hint="eastAsia"/>
        </w:rPr>
        <w:t>,</w:t>
      </w:r>
    </w:p>
    <w:p w:rsidR="00A704F1" w:rsidRDefault="00A704F1" w:rsidP="00A704F1">
      <w:pPr>
        <w:jc w:val="both"/>
      </w:pPr>
      <w:r>
        <w:rPr>
          <w:rFonts w:hint="eastAsia"/>
        </w:rPr>
        <w:t xml:space="preserve">   </w:t>
      </w:r>
      <w:r w:rsidR="00097FF0" w:rsidRPr="00097FF0">
        <w:rPr>
          <w:position w:val="-54"/>
        </w:rPr>
        <w:object w:dxaOrig="5060" w:dyaOrig="1200">
          <v:shape id="_x0000_i1040" type="#_x0000_t75" style="width:252.95pt;height:60.3pt" o:ole="">
            <v:imagedata r:id="rId46" o:title=""/>
          </v:shape>
          <o:OLEObject Type="Embed" ProgID="Equation.3" ShapeID="_x0000_i1040" DrawAspect="Content" ObjectID="_1414670019" r:id="rId47"/>
        </w:object>
      </w:r>
    </w:p>
    <w:p w:rsidR="00B85EB5" w:rsidRDefault="00E16766" w:rsidP="00A704F1">
      <w:pPr>
        <w:ind w:left="360"/>
        <w:jc w:val="both"/>
      </w:pPr>
      <w:r>
        <w:rPr>
          <w:rFonts w:hint="eastAsia"/>
        </w:rPr>
        <w:t xml:space="preserve">. </w:t>
      </w:r>
      <w:r w:rsidR="00F9442A">
        <w:rPr>
          <w:rFonts w:hint="eastAsia"/>
        </w:rPr>
        <w:t>(</w:t>
      </w:r>
      <w:r w:rsidR="00557F50">
        <w:rPr>
          <w:rFonts w:hint="eastAsia"/>
        </w:rPr>
        <w:t>7</w:t>
      </w:r>
      <w:r w:rsidR="00F9442A">
        <w:rPr>
          <w:rFonts w:hint="eastAsia"/>
        </w:rPr>
        <w:t>%)</w:t>
      </w:r>
      <w:r w:rsidR="006D2969">
        <w:rPr>
          <w:rFonts w:hint="eastAsia"/>
        </w:rPr>
        <w:t xml:space="preserve"> </w:t>
      </w:r>
    </w:p>
    <w:p w:rsidR="002F7D72" w:rsidRDefault="002F7D72" w:rsidP="002F7D72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D22AB7" w:rsidRDefault="00D22AB7" w:rsidP="00D22AB7">
      <w:pPr>
        <w:numPr>
          <w:ilvl w:val="0"/>
          <w:numId w:val="1"/>
        </w:numPr>
        <w:jc w:val="both"/>
      </w:pPr>
      <w:r>
        <w:rPr>
          <w:rFonts w:hint="eastAsia"/>
        </w:rPr>
        <w:t>Eq. (6-21), p. 285, Textbook</w:t>
      </w:r>
    </w:p>
    <w:p w:rsidR="00D22AB7" w:rsidRDefault="00D22AB7" w:rsidP="00D22AB7">
      <w:pPr>
        <w:jc w:val="both"/>
      </w:pPr>
      <w:r>
        <w:rPr>
          <w:rFonts w:hint="eastAsia"/>
        </w:rPr>
        <w:t xml:space="preserve"> </w:t>
      </w:r>
      <w:r w:rsidR="000D065B" w:rsidRPr="00B64EF7">
        <w:rPr>
          <w:position w:val="-30"/>
        </w:rPr>
        <w:object w:dxaOrig="7119" w:dyaOrig="720">
          <v:shape id="_x0000_i1041" type="#_x0000_t75" style="width:355.8pt;height:36pt" o:ole="">
            <v:imagedata r:id="rId48" o:title=""/>
          </v:shape>
          <o:OLEObject Type="Embed" ProgID="Equation.3" ShapeID="_x0000_i1041" DrawAspect="Content" ObjectID="_1414670020" r:id="rId49"/>
        </w:object>
      </w:r>
      <w:r>
        <w:rPr>
          <w:rFonts w:hint="eastAsia"/>
        </w:rPr>
        <w:t>.</w:t>
      </w:r>
    </w:p>
    <w:p w:rsidR="00D22AB7" w:rsidRDefault="00D22AB7" w:rsidP="00D22AB7">
      <w:pPr>
        <w:jc w:val="both"/>
      </w:pPr>
      <w:r>
        <w:rPr>
          <w:rFonts w:hint="eastAsia"/>
        </w:rPr>
        <w:t>Eq. (6-24), p. 286, Textbook</w:t>
      </w:r>
    </w:p>
    <w:p w:rsidR="00D22AB7" w:rsidRDefault="00D22AB7" w:rsidP="00440C73">
      <w:pPr>
        <w:jc w:val="both"/>
      </w:pPr>
      <w:r>
        <w:rPr>
          <w:rFonts w:hint="eastAsia"/>
        </w:rPr>
        <w:lastRenderedPageBreak/>
        <w:t xml:space="preserve"> </w:t>
      </w:r>
      <w:r w:rsidR="00097FF0" w:rsidRPr="00B64EF7">
        <w:rPr>
          <w:position w:val="-34"/>
        </w:rPr>
        <w:object w:dxaOrig="5120" w:dyaOrig="840">
          <v:shape id="_x0000_i1042" type="#_x0000_t75" style="width:256.2pt;height:42.1pt" o:ole="">
            <v:imagedata r:id="rId50" o:title=""/>
          </v:shape>
          <o:OLEObject Type="Embed" ProgID="Equation.3" ShapeID="_x0000_i1042" DrawAspect="Content" ObjectID="_1414670021" r:id="rId51"/>
        </w:object>
      </w:r>
      <w:r>
        <w:rPr>
          <w:rFonts w:hint="eastAsia"/>
        </w:rPr>
        <w:t xml:space="preserve">, larger than the critical </w:t>
      </w:r>
      <w:proofErr w:type="gramStart"/>
      <w:r>
        <w:rPr>
          <w:rFonts w:hint="eastAsia"/>
        </w:rPr>
        <w:t xml:space="preserve">value </w:t>
      </w:r>
      <w:proofErr w:type="gramEnd"/>
      <w:r w:rsidR="00097FF0" w:rsidRPr="00B64EF7">
        <w:rPr>
          <w:position w:val="-30"/>
        </w:rPr>
        <w:object w:dxaOrig="6780" w:dyaOrig="680">
          <v:shape id="_x0000_i1043" type="#_x0000_t75" style="width:338.95pt;height:34.15pt" o:ole="">
            <v:imagedata r:id="rId52" o:title=""/>
          </v:shape>
          <o:OLEObject Type="Embed" ProgID="Equation.3" ShapeID="_x0000_i1043" DrawAspect="Content" ObjectID="_1414670022" r:id="rId53"/>
        </w:object>
      </w:r>
      <w:r>
        <w:rPr>
          <w:rFonts w:hint="eastAsia"/>
        </w:rPr>
        <w:t xml:space="preserve">.  Thus the hypothesis </w:t>
      </w:r>
      <w:r w:rsidRPr="00B64EF7">
        <w:rPr>
          <w:position w:val="-12"/>
        </w:rPr>
        <w:object w:dxaOrig="1260" w:dyaOrig="360">
          <v:shape id="_x0000_i1044" type="#_x0000_t75" style="width:63.1pt;height:18.25pt" o:ole="">
            <v:imagedata r:id="rId54" o:title=""/>
          </v:shape>
          <o:OLEObject Type="Embed" ProgID="Equation.3" ShapeID="_x0000_i1044" DrawAspect="Content" ObjectID="_1414670023" r:id="rId55"/>
        </w:object>
      </w:r>
      <w:r>
        <w:rPr>
          <w:rFonts w:hint="eastAsia"/>
        </w:rPr>
        <w:t>is rejected at 10</w:t>
      </w:r>
      <w:r w:rsidR="00544CF9">
        <w:rPr>
          <w:rFonts w:hint="eastAsia"/>
        </w:rPr>
        <w:t>% significance level</w:t>
      </w:r>
      <w:r w:rsidR="0098503D">
        <w:rPr>
          <w:rFonts w:hint="eastAsia"/>
        </w:rPr>
        <w:t xml:space="preserve">. </w:t>
      </w:r>
      <w:r w:rsidR="00F67D58">
        <w:rPr>
          <w:rFonts w:hint="eastAsia"/>
        </w:rPr>
        <w:t>(</w:t>
      </w:r>
      <w:r w:rsidR="00557F50">
        <w:rPr>
          <w:rFonts w:hint="eastAsia"/>
        </w:rPr>
        <w:t>7</w:t>
      </w:r>
      <w:r w:rsidR="00F67D58">
        <w:rPr>
          <w:rFonts w:hint="eastAsia"/>
        </w:rPr>
        <w:t>%)</w:t>
      </w:r>
    </w:p>
    <w:p w:rsidR="0098503D" w:rsidRDefault="00D22AB7" w:rsidP="00440C73">
      <w:pPr>
        <w:pStyle w:val="ab"/>
        <w:ind w:leftChars="0" w:left="360"/>
        <w:jc w:val="both"/>
      </w:pPr>
      <w:r>
        <w:rPr>
          <w:rFonts w:hint="eastAsia"/>
        </w:rPr>
        <w:t>----------------------------------------------------------------------------------------------</w:t>
      </w:r>
      <w:r w:rsidR="0098503D">
        <w:rPr>
          <w:rFonts w:hint="eastAsia"/>
        </w:rPr>
        <w:t xml:space="preserve"> </w:t>
      </w:r>
    </w:p>
    <w:p w:rsidR="000D065B" w:rsidRDefault="000D065B" w:rsidP="000D065B">
      <w:pPr>
        <w:ind w:leftChars="200" w:left="480"/>
        <w:jc w:val="both"/>
      </w:pPr>
      <w:r>
        <w:rPr>
          <w:rFonts w:hint="eastAsia"/>
        </w:rPr>
        <w:t>Follow the equation in p. 291,</w:t>
      </w:r>
    </w:p>
    <w:p w:rsidR="004745EA" w:rsidRDefault="00371ED2" w:rsidP="000D065B">
      <w:pPr>
        <w:numPr>
          <w:ilvl w:val="0"/>
          <w:numId w:val="1"/>
        </w:numPr>
        <w:jc w:val="both"/>
      </w:pPr>
      <w:r w:rsidRPr="00041D04">
        <w:rPr>
          <w:position w:val="-96"/>
        </w:rPr>
        <w:object w:dxaOrig="7260" w:dyaOrig="2240">
          <v:shape id="_x0000_i1045" type="#_x0000_t75" style="width:362.8pt;height:112.2pt" o:ole="">
            <v:imagedata r:id="rId56" o:title=""/>
          </v:shape>
          <o:OLEObject Type="Embed" ProgID="Equation.3" ShapeID="_x0000_i1045" DrawAspect="Content" ObjectID="_1414670024" r:id="rId57"/>
        </w:object>
      </w:r>
      <w:r w:rsidR="00B07607">
        <w:rPr>
          <w:rFonts w:hint="eastAsia"/>
        </w:rPr>
        <w:t xml:space="preserve">.  </w:t>
      </w:r>
      <w:r w:rsidR="004745EA">
        <w:rPr>
          <w:rFonts w:hint="eastAsia"/>
        </w:rPr>
        <w:t>(</w:t>
      </w:r>
      <w:r w:rsidR="00557F50">
        <w:rPr>
          <w:rFonts w:hint="eastAsia"/>
        </w:rPr>
        <w:t>7</w:t>
      </w:r>
      <w:r w:rsidR="004745EA">
        <w:rPr>
          <w:rFonts w:hint="eastAsia"/>
        </w:rPr>
        <w:t xml:space="preserve">%) </w:t>
      </w:r>
    </w:p>
    <w:p w:rsidR="00557F50" w:rsidRDefault="00557F50" w:rsidP="00557F50">
      <w:pPr>
        <w:ind w:left="360"/>
        <w:jc w:val="both"/>
      </w:pPr>
      <w:r>
        <w:rPr>
          <w:rFonts w:hint="eastAsia"/>
        </w:rPr>
        <w:t>----------------------------------------------------------------------------------------------</w:t>
      </w:r>
    </w:p>
    <w:p w:rsidR="00557F50" w:rsidRDefault="00557F50" w:rsidP="000D065B">
      <w:pPr>
        <w:numPr>
          <w:ilvl w:val="0"/>
          <w:numId w:val="1"/>
        </w:numPr>
        <w:jc w:val="both"/>
      </w:pPr>
      <w:r>
        <w:rPr>
          <w:rFonts w:hint="eastAsia"/>
        </w:rPr>
        <w:t xml:space="preserve">Assume that the pair of paired samples are with </w:t>
      </w:r>
      <w:r w:rsidRPr="00557F50">
        <w:rPr>
          <w:rFonts w:hint="eastAsia"/>
          <w:i/>
        </w:rPr>
        <w:t>n</w:t>
      </w:r>
      <w:r>
        <w:rPr>
          <w:rFonts w:hint="eastAsia"/>
        </w:rPr>
        <w:t xml:space="preserve"> data, mean </w:t>
      </w:r>
      <w:proofErr w:type="gramStart"/>
      <w:r>
        <w:rPr>
          <w:rFonts w:hint="eastAsia"/>
        </w:rPr>
        <w:t xml:space="preserve">difference </w:t>
      </w:r>
      <w:proofErr w:type="gramEnd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hint="eastAsia"/>
        </w:rPr>
        <w:t xml:space="preserve">, and standard deviation of difference </w:t>
      </w:r>
      <w:r>
        <w:rPr>
          <w:rFonts w:hint="eastAsia"/>
          <w:i/>
        </w:rPr>
        <w:t>s</w:t>
      </w:r>
      <w:r w:rsidRPr="00557F50">
        <w:rPr>
          <w:rFonts w:hint="eastAsia"/>
          <w:i/>
          <w:vertAlign w:val="subscript"/>
        </w:rPr>
        <w:t>d</w:t>
      </w:r>
      <w:r>
        <w:rPr>
          <w:rFonts w:hint="eastAsia"/>
        </w:rPr>
        <w:t xml:space="preserve">.  The confidence interval by the paired comparison </w:t>
      </w:r>
      <w:proofErr w:type="gramStart"/>
      <w:r>
        <w:rPr>
          <w:rFonts w:hint="eastAsia"/>
        </w:rPr>
        <w:t xml:space="preserve">is </w:t>
      </w:r>
      <w:proofErr w:type="gramEnd"/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 w:rsidR="006E64A0">
        <w:rPr>
          <w:rFonts w:hint="eastAsia"/>
        </w:rPr>
        <w:t xml:space="preserve">.  While if we use the unpaired method to the same paired samples, the confidence interval will be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n+n-2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α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</m:ra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pooled</m:t>
            </m:r>
          </m:sub>
        </m:sSub>
      </m:oMath>
    </w:p>
    <w:p w:rsidR="00593786" w:rsidRPr="00593786" w:rsidRDefault="006E64A0" w:rsidP="006E64A0">
      <w:pPr>
        <w:ind w:left="360"/>
        <w:jc w:val="both"/>
      </w:pPr>
      <w:r>
        <w:t>S</w:t>
      </w:r>
      <w:r>
        <w:rPr>
          <w:rFonts w:hint="eastAsia"/>
        </w:rPr>
        <w:t xml:space="preserve">ince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pooled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n+n-2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n+n-2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,</m:t>
        </m:r>
      </m:oMath>
      <w:r w:rsidR="00593786">
        <w:rPr>
          <w:rFonts w:hint="eastAsia"/>
        </w:rPr>
        <w:t xml:space="preserve"> the confidence interval using unpaired method can be reduced to</w:t>
      </w:r>
    </w:p>
    <w:p w:rsidR="006E64A0" w:rsidRPr="00593786" w:rsidRDefault="00D17DAA" w:rsidP="006E64A0">
      <w:pPr>
        <w:ind w:left="360"/>
        <w:jc w:val="both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 w:hAnsi="Cambria Math"/>
            </w:rPr>
            <m:t>±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n+n-2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pooled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 w:hAnsi="Cambria Math"/>
            </w:rPr>
            <m:t>±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2n-2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593786" w:rsidRPr="002A21F7" w:rsidRDefault="00593786" w:rsidP="006E64A0">
      <w:pPr>
        <w:ind w:left="360"/>
        <w:jc w:val="both"/>
      </w:pPr>
      <w:r>
        <w:rPr>
          <w:rFonts w:hint="eastAsia"/>
        </w:rPr>
        <w:t xml:space="preserve">The lengths of the confidence intervals for the paired and the unpaired methods will be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and </w:t>
      </w:r>
      <w:proofErr w:type="gramEnd"/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2n-2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rPr>
          <w:rFonts w:hint="eastAsia"/>
        </w:rPr>
        <w:t xml:space="preserve">.  Because </w:t>
      </w:r>
      <w:r w:rsidR="007357E4">
        <w:rPr>
          <w:rFonts w:hint="eastAsia"/>
        </w:rPr>
        <w:t xml:space="preserve">for </w:t>
      </w:r>
      <w:r w:rsidR="007357E4" w:rsidRPr="007357E4">
        <w:rPr>
          <w:rFonts w:hint="eastAsia"/>
          <w:i/>
        </w:rPr>
        <w:t>n</w:t>
      </w:r>
      <w:r w:rsidR="007357E4">
        <w:rPr>
          <w:rFonts w:hint="eastAsia"/>
        </w:rPr>
        <w:t xml:space="preserve"> not too small,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</w:t>
      </w:r>
      <w:r w:rsidR="007357E4">
        <w:rPr>
          <w:rFonts w:hint="eastAsia"/>
        </w:rPr>
        <w:t>does</w:t>
      </w:r>
      <w:r>
        <w:rPr>
          <w:rFonts w:hint="eastAsia"/>
        </w:rPr>
        <w:t xml:space="preserve"> not </w:t>
      </w:r>
      <w:r w:rsidR="00E63DB5">
        <w:rPr>
          <w:rFonts w:hint="eastAsia"/>
        </w:rPr>
        <w:t xml:space="preserve">larger </w:t>
      </w:r>
      <w:proofErr w:type="gramStart"/>
      <w:r w:rsidR="00E63DB5">
        <w:rPr>
          <w:rFonts w:hint="eastAsia"/>
        </w:rPr>
        <w:t>than</w:t>
      </w:r>
      <w:r>
        <w:rPr>
          <w:rFonts w:hint="eastAsia"/>
        </w:rPr>
        <w:t xml:space="preserve"> </w:t>
      </w:r>
      <w:proofErr w:type="gramEnd"/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2n-2</m:t>
            </m:r>
          </m:sub>
        </m:sSub>
        <m:r>
          <w:rPr>
            <w:rFonts w:ascii="Cambria Math" w:hAnsi="Cambria Math"/>
          </w:rPr>
          <m:t>(α)</m:t>
        </m:r>
      </m:oMath>
      <w:r w:rsidR="002A21F7">
        <w:rPr>
          <w:rFonts w:hint="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 w:rsidR="002A21F7">
        <w:rPr>
          <w:rFonts w:hint="eastAsia"/>
        </w:rPr>
        <w:t xml:space="preserve"> is smaller than </w:t>
      </w: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2n-2</m:t>
            </m:r>
          </m:sub>
        </m:sSub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 w:rsidR="002A21F7">
        <w:rPr>
          <w:rFonts w:hint="eastAsia"/>
        </w:rPr>
        <w:t>.  Thus the paired method is more accurate.</w:t>
      </w:r>
      <w:r w:rsidR="007A7CC0">
        <w:rPr>
          <w:rFonts w:hint="eastAsia"/>
        </w:rPr>
        <w:t xml:space="preserve"> (</w:t>
      </w:r>
      <w:r w:rsidR="00C51456">
        <w:rPr>
          <w:rFonts w:hint="eastAsia"/>
        </w:rPr>
        <w:t>9</w:t>
      </w:r>
      <w:r w:rsidR="007A7CC0">
        <w:rPr>
          <w:rFonts w:hint="eastAsia"/>
        </w:rPr>
        <w:t>%)</w:t>
      </w:r>
    </w:p>
    <w:sectPr w:rsidR="00593786" w:rsidRPr="002A21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AA" w:rsidRDefault="00D17DAA" w:rsidP="00E53C16">
      <w:r>
        <w:separator/>
      </w:r>
    </w:p>
  </w:endnote>
  <w:endnote w:type="continuationSeparator" w:id="0">
    <w:p w:rsidR="00D17DAA" w:rsidRDefault="00D17DAA" w:rsidP="00E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AA" w:rsidRDefault="00D17DAA" w:rsidP="00E53C16">
      <w:r>
        <w:separator/>
      </w:r>
    </w:p>
  </w:footnote>
  <w:footnote w:type="continuationSeparator" w:id="0">
    <w:p w:rsidR="00D17DAA" w:rsidRDefault="00D17DAA" w:rsidP="00E5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01"/>
    <w:multiLevelType w:val="hybridMultilevel"/>
    <w:tmpl w:val="0C6A8608"/>
    <w:lvl w:ilvl="0" w:tplc="4810F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C2C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F"/>
    <w:rsid w:val="0000144F"/>
    <w:rsid w:val="00033D2C"/>
    <w:rsid w:val="00041D04"/>
    <w:rsid w:val="00044C09"/>
    <w:rsid w:val="00082B6F"/>
    <w:rsid w:val="00083D6C"/>
    <w:rsid w:val="00093D5C"/>
    <w:rsid w:val="00097FF0"/>
    <w:rsid w:val="000C3BAD"/>
    <w:rsid w:val="000D065B"/>
    <w:rsid w:val="00116E1E"/>
    <w:rsid w:val="0012581F"/>
    <w:rsid w:val="00173036"/>
    <w:rsid w:val="001A12CE"/>
    <w:rsid w:val="001A253F"/>
    <w:rsid w:val="001B1615"/>
    <w:rsid w:val="001D3C47"/>
    <w:rsid w:val="00200745"/>
    <w:rsid w:val="00202E06"/>
    <w:rsid w:val="002166A1"/>
    <w:rsid w:val="0024605A"/>
    <w:rsid w:val="00246FEE"/>
    <w:rsid w:val="00255400"/>
    <w:rsid w:val="0027559A"/>
    <w:rsid w:val="00282512"/>
    <w:rsid w:val="002A21F7"/>
    <w:rsid w:val="002C025D"/>
    <w:rsid w:val="002F7D72"/>
    <w:rsid w:val="003004E1"/>
    <w:rsid w:val="0031443C"/>
    <w:rsid w:val="00346DA8"/>
    <w:rsid w:val="00351977"/>
    <w:rsid w:val="0035333D"/>
    <w:rsid w:val="00371ED2"/>
    <w:rsid w:val="003A2C19"/>
    <w:rsid w:val="003B3954"/>
    <w:rsid w:val="003C2B89"/>
    <w:rsid w:val="003F14C0"/>
    <w:rsid w:val="003F2800"/>
    <w:rsid w:val="00417797"/>
    <w:rsid w:val="00421E42"/>
    <w:rsid w:val="004363C3"/>
    <w:rsid w:val="00440C73"/>
    <w:rsid w:val="00464A46"/>
    <w:rsid w:val="00465689"/>
    <w:rsid w:val="004726D1"/>
    <w:rsid w:val="004745EA"/>
    <w:rsid w:val="004C0BEA"/>
    <w:rsid w:val="004F3FAF"/>
    <w:rsid w:val="00501E13"/>
    <w:rsid w:val="00503FD7"/>
    <w:rsid w:val="00523138"/>
    <w:rsid w:val="005270CA"/>
    <w:rsid w:val="00544CF9"/>
    <w:rsid w:val="00557F50"/>
    <w:rsid w:val="00566677"/>
    <w:rsid w:val="00571B6C"/>
    <w:rsid w:val="00573403"/>
    <w:rsid w:val="005831E2"/>
    <w:rsid w:val="00593786"/>
    <w:rsid w:val="00594B64"/>
    <w:rsid w:val="005A1120"/>
    <w:rsid w:val="005E5ECA"/>
    <w:rsid w:val="00620E3B"/>
    <w:rsid w:val="006234FD"/>
    <w:rsid w:val="0063082F"/>
    <w:rsid w:val="00660B04"/>
    <w:rsid w:val="0066585A"/>
    <w:rsid w:val="00696282"/>
    <w:rsid w:val="006D1507"/>
    <w:rsid w:val="006D2753"/>
    <w:rsid w:val="006D2969"/>
    <w:rsid w:val="006E17F0"/>
    <w:rsid w:val="006E64A0"/>
    <w:rsid w:val="007152B5"/>
    <w:rsid w:val="00725B27"/>
    <w:rsid w:val="007357E4"/>
    <w:rsid w:val="00742B2D"/>
    <w:rsid w:val="00746FD0"/>
    <w:rsid w:val="00773449"/>
    <w:rsid w:val="00777815"/>
    <w:rsid w:val="00777F0A"/>
    <w:rsid w:val="00781186"/>
    <w:rsid w:val="007A7CC0"/>
    <w:rsid w:val="007B7571"/>
    <w:rsid w:val="007D0572"/>
    <w:rsid w:val="008125D9"/>
    <w:rsid w:val="0082215C"/>
    <w:rsid w:val="008238ED"/>
    <w:rsid w:val="00830525"/>
    <w:rsid w:val="00836AE1"/>
    <w:rsid w:val="00860F1E"/>
    <w:rsid w:val="0087244E"/>
    <w:rsid w:val="00874C52"/>
    <w:rsid w:val="008935F5"/>
    <w:rsid w:val="008A563A"/>
    <w:rsid w:val="008C3814"/>
    <w:rsid w:val="008C39B3"/>
    <w:rsid w:val="008E1CD6"/>
    <w:rsid w:val="008E6133"/>
    <w:rsid w:val="00917BAD"/>
    <w:rsid w:val="0092280F"/>
    <w:rsid w:val="00956718"/>
    <w:rsid w:val="00967F30"/>
    <w:rsid w:val="00973943"/>
    <w:rsid w:val="0098503D"/>
    <w:rsid w:val="00A03B4E"/>
    <w:rsid w:val="00A03DE9"/>
    <w:rsid w:val="00A34CA8"/>
    <w:rsid w:val="00A423F9"/>
    <w:rsid w:val="00A43DB1"/>
    <w:rsid w:val="00A704F1"/>
    <w:rsid w:val="00A7167F"/>
    <w:rsid w:val="00A7755C"/>
    <w:rsid w:val="00A962E8"/>
    <w:rsid w:val="00AA5739"/>
    <w:rsid w:val="00AF6244"/>
    <w:rsid w:val="00B07607"/>
    <w:rsid w:val="00B22F55"/>
    <w:rsid w:val="00B25C0D"/>
    <w:rsid w:val="00B3119E"/>
    <w:rsid w:val="00B5306B"/>
    <w:rsid w:val="00B834D2"/>
    <w:rsid w:val="00B838EA"/>
    <w:rsid w:val="00B85EB5"/>
    <w:rsid w:val="00B96931"/>
    <w:rsid w:val="00BD5282"/>
    <w:rsid w:val="00BE5B6F"/>
    <w:rsid w:val="00BF3126"/>
    <w:rsid w:val="00C03AD6"/>
    <w:rsid w:val="00C35A0C"/>
    <w:rsid w:val="00C4601F"/>
    <w:rsid w:val="00C51456"/>
    <w:rsid w:val="00C5604F"/>
    <w:rsid w:val="00C64EF7"/>
    <w:rsid w:val="00C95B96"/>
    <w:rsid w:val="00CA7894"/>
    <w:rsid w:val="00CC681B"/>
    <w:rsid w:val="00CD5063"/>
    <w:rsid w:val="00D17DAA"/>
    <w:rsid w:val="00D22AB7"/>
    <w:rsid w:val="00D41807"/>
    <w:rsid w:val="00D62509"/>
    <w:rsid w:val="00D645F4"/>
    <w:rsid w:val="00D70E43"/>
    <w:rsid w:val="00D82F14"/>
    <w:rsid w:val="00DA1234"/>
    <w:rsid w:val="00DA5AA0"/>
    <w:rsid w:val="00DE6CEB"/>
    <w:rsid w:val="00E05437"/>
    <w:rsid w:val="00E07061"/>
    <w:rsid w:val="00E155DA"/>
    <w:rsid w:val="00E16766"/>
    <w:rsid w:val="00E36F68"/>
    <w:rsid w:val="00E53C16"/>
    <w:rsid w:val="00E62207"/>
    <w:rsid w:val="00E63DB5"/>
    <w:rsid w:val="00E761A0"/>
    <w:rsid w:val="00E83C76"/>
    <w:rsid w:val="00E9102C"/>
    <w:rsid w:val="00EA589D"/>
    <w:rsid w:val="00EB134B"/>
    <w:rsid w:val="00EE1208"/>
    <w:rsid w:val="00EF0635"/>
    <w:rsid w:val="00EF1E0C"/>
    <w:rsid w:val="00EF7748"/>
    <w:rsid w:val="00F0406F"/>
    <w:rsid w:val="00F27D83"/>
    <w:rsid w:val="00F67D58"/>
    <w:rsid w:val="00F74799"/>
    <w:rsid w:val="00F85CB4"/>
    <w:rsid w:val="00F8680B"/>
    <w:rsid w:val="00F9442A"/>
    <w:rsid w:val="00FA42CC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442A"/>
    <w:pPr>
      <w:jc w:val="right"/>
    </w:pPr>
  </w:style>
  <w:style w:type="paragraph" w:styleId="a4">
    <w:name w:val="header"/>
    <w:basedOn w:val="a"/>
    <w:link w:val="a5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3C16"/>
    <w:rPr>
      <w:kern w:val="2"/>
    </w:rPr>
  </w:style>
  <w:style w:type="paragraph" w:styleId="a6">
    <w:name w:val="footer"/>
    <w:basedOn w:val="a"/>
    <w:link w:val="a7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53C16"/>
    <w:rPr>
      <w:kern w:val="2"/>
    </w:rPr>
  </w:style>
  <w:style w:type="character" w:styleId="a8">
    <w:name w:val="Placeholder Text"/>
    <w:basedOn w:val="a0"/>
    <w:uiPriority w:val="99"/>
    <w:semiHidden/>
    <w:rsid w:val="0012581F"/>
    <w:rPr>
      <w:color w:val="808080"/>
    </w:rPr>
  </w:style>
  <w:style w:type="paragraph" w:styleId="a9">
    <w:name w:val="Balloon Text"/>
    <w:basedOn w:val="a"/>
    <w:link w:val="aa"/>
    <w:rsid w:val="00125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258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06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442A"/>
    <w:pPr>
      <w:jc w:val="right"/>
    </w:pPr>
  </w:style>
  <w:style w:type="paragraph" w:styleId="a4">
    <w:name w:val="header"/>
    <w:basedOn w:val="a"/>
    <w:link w:val="a5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3C16"/>
    <w:rPr>
      <w:kern w:val="2"/>
    </w:rPr>
  </w:style>
  <w:style w:type="paragraph" w:styleId="a6">
    <w:name w:val="footer"/>
    <w:basedOn w:val="a"/>
    <w:link w:val="a7"/>
    <w:rsid w:val="00E5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53C16"/>
    <w:rPr>
      <w:kern w:val="2"/>
    </w:rPr>
  </w:style>
  <w:style w:type="character" w:styleId="a8">
    <w:name w:val="Placeholder Text"/>
    <w:basedOn w:val="a0"/>
    <w:uiPriority w:val="99"/>
    <w:semiHidden/>
    <w:rsid w:val="0012581F"/>
    <w:rPr>
      <w:color w:val="808080"/>
    </w:rPr>
  </w:style>
  <w:style w:type="paragraph" w:styleId="a9">
    <w:name w:val="Balloon Text"/>
    <w:basedOn w:val="a"/>
    <w:link w:val="aa"/>
    <w:rsid w:val="00125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258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06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F1BB-CF77-4132-A796-E2DA871E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652</Words>
  <Characters>3723</Characters>
  <Application>Microsoft Office Word</Application>
  <DocSecurity>0</DocSecurity>
  <Lines>31</Lines>
  <Paragraphs>8</Paragraphs>
  <ScaleCrop>false</ScaleCrop>
  <Company>National Taiwan University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Multivariate Statistical Analysis Mid Term</dc:title>
  <dc:creator>Shyh-Kang Jeng</dc:creator>
  <cp:lastModifiedBy>skjeng</cp:lastModifiedBy>
  <cp:revision>31</cp:revision>
  <cp:lastPrinted>2012-11-07T06:35:00Z</cp:lastPrinted>
  <dcterms:created xsi:type="dcterms:W3CDTF">2012-10-24T06:19:00Z</dcterms:created>
  <dcterms:modified xsi:type="dcterms:W3CDTF">2012-11-17T07:06:00Z</dcterms:modified>
</cp:coreProperties>
</file>